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extensions/taskpanes.xml" ContentType="application/vnd.ms-office.webextensiontaskpanes+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microsoft.com/office/2011/relationships/webextensiontaskpanes" Target="word/webextensions/taskpanes.xml"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D7547" w:rsidRDefault="00CC281E" w:rsidP="00991E42">
      <w:pPr>
        <w:jc w:val="center"/>
        <w:rPr>
          <w:b/>
        </w:rPr>
      </w:pPr>
      <w:r w:rsidRPr="00991E42">
        <w:rPr>
          <w:b/>
        </w:rPr>
        <w:t xml:space="preserve">Impacts </w:t>
      </w:r>
      <w:r>
        <w:rPr>
          <w:b/>
        </w:rPr>
        <w:t>o</w:t>
      </w:r>
      <w:r w:rsidRPr="00991E42">
        <w:rPr>
          <w:b/>
        </w:rPr>
        <w:t>f Student’s Loans</w:t>
      </w:r>
    </w:p>
    <w:p w:rsidR="00991E42" w:rsidRDefault="00991E42" w:rsidP="00991E42">
      <w:pPr>
        <w:jc w:val="center"/>
        <w:rPr>
          <w:b/>
        </w:rPr>
      </w:pPr>
    </w:p>
    <w:p w:rsidR="00991E42" w:rsidRDefault="00991E42" w:rsidP="00991E42">
      <w:pPr>
        <w:jc w:val="center"/>
        <w:rPr>
          <w:b/>
        </w:rPr>
      </w:pPr>
    </w:p>
    <w:p w:rsidR="00991E42" w:rsidRPr="00991E42" w:rsidRDefault="00CC281E" w:rsidP="00991E42">
      <w:pPr>
        <w:jc w:val="center"/>
      </w:pPr>
      <w:r w:rsidRPr="00991E42">
        <w:t xml:space="preserve">Name </w:t>
      </w:r>
    </w:p>
    <w:p w:rsidR="00991E42" w:rsidRDefault="00CC281E" w:rsidP="00991E42">
      <w:pPr>
        <w:jc w:val="center"/>
      </w:pPr>
      <w:r w:rsidRPr="00991E42">
        <w:t>Affiliation</w:t>
      </w:r>
    </w:p>
    <w:p w:rsidR="00991E42" w:rsidRDefault="00CC281E" w:rsidP="00991E42">
      <w:pPr>
        <w:jc w:val="center"/>
      </w:pPr>
      <w:r>
        <w:t>Date</w:t>
      </w:r>
    </w:p>
    <w:p w:rsidR="00991E42" w:rsidRDefault="00991E42" w:rsidP="00991E42">
      <w:pPr>
        <w:jc w:val="center"/>
      </w:pPr>
    </w:p>
    <w:p w:rsidR="00991E42" w:rsidRDefault="00CC281E">
      <w:r>
        <w:br w:type="page"/>
      </w:r>
    </w:p>
    <w:p w:rsidR="00991E42" w:rsidRDefault="00CC281E" w:rsidP="00991E42">
      <w:pPr>
        <w:jc w:val="center"/>
        <w:rPr>
          <w:b/>
        </w:rPr>
      </w:pPr>
      <w:r w:rsidRPr="00991E42">
        <w:rPr>
          <w:b/>
        </w:rPr>
        <w:lastRenderedPageBreak/>
        <w:t xml:space="preserve">Impacts </w:t>
      </w:r>
      <w:r>
        <w:rPr>
          <w:b/>
        </w:rPr>
        <w:t>o</w:t>
      </w:r>
      <w:r w:rsidRPr="00991E42">
        <w:rPr>
          <w:b/>
        </w:rPr>
        <w:t>f Student’s Loans</w:t>
      </w:r>
    </w:p>
    <w:p w:rsidR="00991E42" w:rsidRDefault="00CC281E" w:rsidP="00991E42">
      <w:r>
        <w:rPr>
          <w:b/>
        </w:rPr>
        <w:tab/>
      </w:r>
      <w:r w:rsidRPr="00991E42">
        <w:t xml:space="preserve">Millennials </w:t>
      </w:r>
      <w:r>
        <w:t xml:space="preserve">have the </w:t>
      </w:r>
      <w:r w:rsidR="00903B5C">
        <w:t>undesirable</w:t>
      </w:r>
      <w:r>
        <w:t xml:space="preserve"> </w:t>
      </w:r>
      <w:r w:rsidR="00903B5C">
        <w:t>peculiarity</w:t>
      </w:r>
      <w:r>
        <w:t xml:space="preserve"> of being indebted to university and college </w:t>
      </w:r>
      <w:r w:rsidR="002033FA">
        <w:t>students. According to the research by university of oxford, individual under the age of 35 years owe</w:t>
      </w:r>
      <w:r w:rsidR="00903B5C">
        <w:t xml:space="preserve"> the government almost</w:t>
      </w:r>
      <w:r w:rsidR="002033FA">
        <w:t xml:space="preserve"> 613 billion dollars in student loans as of the year 2019.it is very sad when you consider that a considerable number of university and college students are financially </w:t>
      </w:r>
      <w:r w:rsidR="00903B5C">
        <w:t>inexpert</w:t>
      </w:r>
      <w:r w:rsidR="002033FA">
        <w:t xml:space="preserve"> and this may contribute to excessive borrowing of money than what is </w:t>
      </w:r>
      <w:r w:rsidR="007D57C6">
        <w:t>needed. Although</w:t>
      </w:r>
      <w:r w:rsidR="002033FA">
        <w:t xml:space="preserve"> it is </w:t>
      </w:r>
      <w:r w:rsidR="007D57C6">
        <w:t>essent</w:t>
      </w:r>
      <w:r w:rsidR="002033FA">
        <w:t xml:space="preserve">ial for students to </w:t>
      </w:r>
      <w:r w:rsidR="00D9168D">
        <w:t xml:space="preserve">out loans for school fees payment, it is vital to consider how a student uses the money received </w:t>
      </w:r>
      <w:r w:rsidR="00D9168D" w:rsidRPr="00BE1B23">
        <w:rPr>
          <w:rFonts w:cs="Times New Roman"/>
          <w:szCs w:val="24"/>
        </w:rPr>
        <w:t>carefully</w:t>
      </w:r>
      <w:r w:rsidR="00BE1B23" w:rsidRPr="00BE1B23">
        <w:rPr>
          <w:rFonts w:cs="Times New Roman"/>
          <w:szCs w:val="24"/>
        </w:rPr>
        <w:t xml:space="preserve"> </w:t>
      </w:r>
      <w:r w:rsidR="00BE1B23">
        <w:rPr>
          <w:rFonts w:cs="Times New Roman"/>
          <w:color w:val="333333"/>
          <w:szCs w:val="24"/>
          <w:shd w:val="clear" w:color="auto" w:fill="FFFFFF"/>
        </w:rPr>
        <w:t>(Hillman, 2014</w:t>
      </w:r>
      <w:r w:rsidR="00BE1B23" w:rsidRPr="00BE1B23">
        <w:rPr>
          <w:rFonts w:cs="Times New Roman"/>
          <w:color w:val="333333"/>
          <w:szCs w:val="24"/>
          <w:shd w:val="clear" w:color="auto" w:fill="FFFFFF"/>
        </w:rPr>
        <w:t>)</w:t>
      </w:r>
      <w:r w:rsidR="00D9168D" w:rsidRPr="00BE1B23">
        <w:rPr>
          <w:rFonts w:cs="Times New Roman"/>
          <w:szCs w:val="24"/>
        </w:rPr>
        <w:t>.</w:t>
      </w:r>
    </w:p>
    <w:p w:rsidR="00D9168D" w:rsidRDefault="00CC281E" w:rsidP="00991E42">
      <w:r>
        <w:t xml:space="preserve"> The mismanagement of these funds can have </w:t>
      </w:r>
      <w:r w:rsidR="00903B5C">
        <w:t>an</w:t>
      </w:r>
      <w:r>
        <w:t xml:space="preserve"> </w:t>
      </w:r>
      <w:r w:rsidR="00903B5C">
        <w:t>intense</w:t>
      </w:r>
      <w:r>
        <w:t xml:space="preserve"> effect on individual </w:t>
      </w:r>
      <w:r w:rsidR="008D7983">
        <w:t>life. The first negative</w:t>
      </w:r>
      <w:r w:rsidR="00903B5C">
        <w:t xml:space="preserve"> impact</w:t>
      </w:r>
      <w:r w:rsidR="008D7983">
        <w:t xml:space="preserve"> is not preceding grad school; this can mean the difference between a low-mid range </w:t>
      </w:r>
      <w:r w:rsidR="000D0709">
        <w:t>salar</w:t>
      </w:r>
      <w:r w:rsidR="008D7983">
        <w:t xml:space="preserve">y. For instance, according to the </w:t>
      </w:r>
      <w:r w:rsidR="000D0709">
        <w:t>national association</w:t>
      </w:r>
      <w:r w:rsidR="008D7983">
        <w:t xml:space="preserve"> </w:t>
      </w:r>
      <w:r w:rsidR="000D0709">
        <w:t xml:space="preserve">of employers and college, </w:t>
      </w:r>
      <w:r w:rsidR="008D7983">
        <w:t xml:space="preserve">an individual with an undergraduate degree in B.A. was </w:t>
      </w:r>
      <w:r w:rsidR="000D0709">
        <w:t>slightly more than 5600</w:t>
      </w:r>
      <w:r w:rsidR="00903B5C">
        <w:t xml:space="preserve"> United States</w:t>
      </w:r>
      <w:r w:rsidR="000D0709">
        <w:t xml:space="preserve"> dollars compared to individuals with masters in B.A. earning at least 85000</w:t>
      </w:r>
      <w:r w:rsidR="00903B5C">
        <w:t xml:space="preserve"> United States</w:t>
      </w:r>
      <w:r w:rsidR="000D0709">
        <w:t xml:space="preserve"> </w:t>
      </w:r>
      <w:r w:rsidR="00CB7B18">
        <w:t>dollars. Th</w:t>
      </w:r>
      <w:r w:rsidR="000D0709">
        <w:t xml:space="preserve">ese statistics imply that if I want to proceed to grad school, I will have to do some critical thinking. I will also have to weigh the likelihood </w:t>
      </w:r>
      <w:r w:rsidR="008D5904">
        <w:t>that the amount of salary will</w:t>
      </w:r>
      <w:r w:rsidR="000D0709">
        <w:t xml:space="preserve"> earn </w:t>
      </w:r>
      <w:r w:rsidR="00854871">
        <w:t xml:space="preserve">and prospective costs. Most students accumulate about 30,000 </w:t>
      </w:r>
      <w:r w:rsidR="00BE1B23">
        <w:t>United States</w:t>
      </w:r>
      <w:r w:rsidR="00903B5C">
        <w:t xml:space="preserve"> </w:t>
      </w:r>
      <w:r w:rsidR="00854871">
        <w:t xml:space="preserve">dollars in student loans, which can result in denial of another credit, thus hindering the possibility of advancing in </w:t>
      </w:r>
      <w:r w:rsidR="00854871" w:rsidRPr="00BE1B23">
        <w:rPr>
          <w:rFonts w:cs="Times New Roman"/>
          <w:szCs w:val="24"/>
        </w:rPr>
        <w:t>education</w:t>
      </w:r>
      <w:r w:rsidR="00BE1B23" w:rsidRPr="00BE1B23">
        <w:rPr>
          <w:rFonts w:cs="Times New Roman"/>
          <w:color w:val="333333"/>
          <w:szCs w:val="24"/>
          <w:shd w:val="clear" w:color="auto" w:fill="FFFFFF"/>
        </w:rPr>
        <w:t> (Hillman et al., 2014)</w:t>
      </w:r>
      <w:r w:rsidR="00854871" w:rsidRPr="00BE1B23">
        <w:rPr>
          <w:rFonts w:cs="Times New Roman"/>
          <w:szCs w:val="24"/>
        </w:rPr>
        <w:t>.</w:t>
      </w:r>
    </w:p>
    <w:p w:rsidR="00A75B0A" w:rsidRDefault="00CC281E" w:rsidP="00446687">
      <w:r>
        <w:tab/>
      </w:r>
      <w:r w:rsidR="00854871">
        <w:t xml:space="preserve">The other challenge </w:t>
      </w:r>
      <w:r>
        <w:t>is that student loans significantly inhibits an individual's ability to purchase</w:t>
      </w:r>
      <w:r w:rsidR="00903B5C">
        <w:t xml:space="preserve"> a home. Almost</w:t>
      </w:r>
      <w:r>
        <w:t xml:space="preserve"> 57 percent of millennial renters are university and college students. The minimum prevents several students who can manage to buy a home through monthly payments down </w:t>
      </w:r>
      <w:r w:rsidR="00903B5C">
        <w:t>payment requirements</w:t>
      </w:r>
      <w:r>
        <w:t xml:space="preserve"> by most of the lenders.</w:t>
      </w:r>
    </w:p>
    <w:p w:rsidR="008D5904" w:rsidRPr="00BE1B23" w:rsidRDefault="00CC281E" w:rsidP="00991E42">
      <w:pPr>
        <w:rPr>
          <w:rFonts w:cs="Times New Roman"/>
          <w:szCs w:val="24"/>
        </w:rPr>
      </w:pPr>
      <w:r>
        <w:lastRenderedPageBreak/>
        <w:tab/>
      </w:r>
      <w:r w:rsidR="00750751">
        <w:t xml:space="preserve">Managing student loans can be challenging and overwhelming when university students graduate with more than 40,000 U.S. dollars debts from credit cards and loans. However, there are some ways that I can use to manage my </w:t>
      </w:r>
      <w:r w:rsidR="00DD3ACB">
        <w:t>debts. The</w:t>
      </w:r>
      <w:r w:rsidR="00750751">
        <w:t xml:space="preserve"> firs</w:t>
      </w:r>
      <w:r w:rsidR="00DD3ACB">
        <w:t>t</w:t>
      </w:r>
      <w:r w:rsidR="00750751">
        <w:t xml:space="preserve"> step I will take is</w:t>
      </w:r>
      <w:r w:rsidR="00446687">
        <w:t xml:space="preserve"> progressing on</w:t>
      </w:r>
      <w:r w:rsidR="00750751">
        <w:t xml:space="preserve"> from student life, </w:t>
      </w:r>
      <w:r w:rsidR="00DD3ACB">
        <w:t xml:space="preserve">although it will take time to </w:t>
      </w:r>
      <w:r w:rsidR="00446687">
        <w:t>change</w:t>
      </w:r>
      <w:r w:rsidR="00DD3ACB">
        <w:t xml:space="preserve"> to post-student life. Even if my career can take </w:t>
      </w:r>
      <w:r w:rsidR="00446687">
        <w:t>lengthier</w:t>
      </w:r>
      <w:r w:rsidR="00DD3ACB">
        <w:t xml:space="preserve"> to start than how I will plan but the situation will improve </w:t>
      </w:r>
      <w:r w:rsidR="00DD3ACB" w:rsidRPr="00BE1B23">
        <w:rPr>
          <w:rFonts w:cs="Times New Roman"/>
          <w:szCs w:val="24"/>
        </w:rPr>
        <w:t>with time</w:t>
      </w:r>
      <w:r w:rsidR="00BE1B23" w:rsidRPr="00BE1B23">
        <w:rPr>
          <w:rFonts w:cs="Times New Roman"/>
          <w:szCs w:val="24"/>
        </w:rPr>
        <w:t xml:space="preserve"> </w:t>
      </w:r>
      <w:r w:rsidR="00BE1B23" w:rsidRPr="00BE1B23">
        <w:rPr>
          <w:rFonts w:cs="Times New Roman"/>
          <w:color w:val="333333"/>
          <w:szCs w:val="24"/>
          <w:shd w:val="clear" w:color="auto" w:fill="FFFFFF"/>
        </w:rPr>
        <w:t>(Belfield, 2012)</w:t>
      </w:r>
      <w:r w:rsidR="00DD3ACB" w:rsidRPr="00BE1B23">
        <w:rPr>
          <w:rFonts w:cs="Times New Roman"/>
          <w:szCs w:val="24"/>
        </w:rPr>
        <w:t>.</w:t>
      </w:r>
    </w:p>
    <w:p w:rsidR="00DD3ACB" w:rsidRDefault="00CC281E" w:rsidP="00991E42">
      <w:r>
        <w:tab/>
        <w:t xml:space="preserve">The other tip will </w:t>
      </w:r>
      <w:r w:rsidR="0030638D">
        <w:t>use to</w:t>
      </w:r>
      <w:r>
        <w:t xml:space="preserve"> manage my student loan is paying off the final student bills </w:t>
      </w:r>
      <w:r w:rsidR="0030638D">
        <w:t xml:space="preserve">before leaving college. This management will also involve paying my rent for accommodation since the unpaid bills can interfere with my credit </w:t>
      </w:r>
      <w:r w:rsidR="00C15B53">
        <w:t>score. Since I want to qualify for higher credit card rates and competitive loan payment of these bills will increase my credit score. The next aspect I will be involved in is maintaining good money habits</w:t>
      </w:r>
      <w:r w:rsidR="009072EE">
        <w:t>, which will help me for the rest of my life. These habits will also include saving money to reach saving goals. After some time, I will even start a pension scheme; this will make a difference in the amount of money that I will have when I retire.</w:t>
      </w:r>
    </w:p>
    <w:p w:rsidR="00D039D7" w:rsidRDefault="00CC281E" w:rsidP="00991E42">
      <w:r>
        <w:tab/>
        <w:t xml:space="preserve">Getting free debt advice will also contribute to personal financial </w:t>
      </w:r>
      <w:r w:rsidR="000D5794">
        <w:t xml:space="preserve">success. Making </w:t>
      </w:r>
      <w:r>
        <w:t xml:space="preserve">sensible </w:t>
      </w:r>
      <w:r w:rsidR="000D5794">
        <w:t>cutbacks to meet my payment may not be helpful</w:t>
      </w:r>
      <w:r>
        <w:t xml:space="preserve">. This success will be achieved by </w:t>
      </w:r>
      <w:r w:rsidR="000D5794">
        <w:t xml:space="preserve">seeking consultation from confidential finance advice that will provide help and </w:t>
      </w:r>
      <w:r w:rsidR="00AA3F73">
        <w:t>support. I</w:t>
      </w:r>
      <w:r w:rsidR="000D5794">
        <w:t xml:space="preserve"> will also assign a part of the income</w:t>
      </w:r>
      <w:r w:rsidR="00AA3F73">
        <w:t xml:space="preserve"> to begin reducing the high-interest rate debts from bank loans and credit </w:t>
      </w:r>
      <w:r w:rsidR="00FA76A3">
        <w:t xml:space="preserve">cards. </w:t>
      </w:r>
      <w:r w:rsidR="00AA3F73">
        <w:t>Every month, I will make a minimum repayment</w:t>
      </w:r>
      <w:r w:rsidR="00FA76A3">
        <w:t xml:space="preserve"> and ensure that I don’t miss other </w:t>
      </w:r>
      <w:r>
        <w:t>instalments. Once I leave university, I will switch to a graduate account since it will my time to repay the overdraft.</w:t>
      </w:r>
    </w:p>
    <w:p w:rsidR="00D039D7" w:rsidRDefault="00CC281E">
      <w:r>
        <w:br w:type="page"/>
      </w:r>
    </w:p>
    <w:p w:rsidR="00E878FF" w:rsidRDefault="00CC281E" w:rsidP="008F61B2">
      <w:pPr>
        <w:ind w:firstLine="720"/>
      </w:pPr>
      <w:r>
        <w:lastRenderedPageBreak/>
        <w:t>The amount of money due or owed is the description of the debt; thus, an individual is required to settle the debts to be stable. These debts will influence me, especially in salary. Liability affects the salary that I will be receiving through enabling subtractions and deductions from the defined salary</w:t>
      </w:r>
      <w:r w:rsidR="001F0C81">
        <w:t xml:space="preserve"> as a par employment contract. Massive amounts of loans from credit cards and banks will tend to have a considerable amount of deductions on my wage, reducing the number of debt and, consequently, the salary amount. Apart from </w:t>
      </w:r>
      <w:r w:rsidR="008F61B2">
        <w:t>that, liabilities</w:t>
      </w:r>
      <w:r w:rsidR="001F0C81">
        <w:t xml:space="preserve"> also will influence my negotiation of salary, taking into consideration the monthly deductions that the debt will be </w:t>
      </w:r>
      <w:r w:rsidR="008F61B2">
        <w:t>leaving</w:t>
      </w:r>
      <w:r w:rsidR="001F0C81">
        <w:t xml:space="preserve"> </w:t>
      </w:r>
      <w:r w:rsidR="008F61B2">
        <w:t xml:space="preserve">one with sufficient disposable income to </w:t>
      </w:r>
      <w:r w:rsidR="008F61B2" w:rsidRPr="00C65033">
        <w:rPr>
          <w:rFonts w:cs="Times New Roman"/>
          <w:szCs w:val="24"/>
        </w:rPr>
        <w:t>spend</w:t>
      </w:r>
      <w:r w:rsidR="00C65033" w:rsidRPr="00C65033">
        <w:rPr>
          <w:rFonts w:cs="Times New Roman"/>
          <w:szCs w:val="24"/>
        </w:rPr>
        <w:t xml:space="preserve"> </w:t>
      </w:r>
      <w:r w:rsidR="00C65033">
        <w:rPr>
          <w:rFonts w:cs="Times New Roman"/>
          <w:color w:val="333333"/>
          <w:szCs w:val="24"/>
          <w:shd w:val="clear" w:color="auto" w:fill="FFFFFF"/>
        </w:rPr>
        <w:t>(Montalto et al., 2018</w:t>
      </w:r>
      <w:r w:rsidR="00C65033" w:rsidRPr="00C65033">
        <w:rPr>
          <w:rFonts w:cs="Times New Roman"/>
          <w:color w:val="333333"/>
          <w:szCs w:val="24"/>
          <w:shd w:val="clear" w:color="auto" w:fill="FFFFFF"/>
        </w:rPr>
        <w:t>)</w:t>
      </w:r>
      <w:r w:rsidR="008F61B2" w:rsidRPr="00C65033">
        <w:rPr>
          <w:rFonts w:cs="Times New Roman"/>
          <w:szCs w:val="24"/>
        </w:rPr>
        <w:t>.</w:t>
      </w:r>
      <w:r w:rsidR="001F0C81">
        <w:t xml:space="preserve"> </w:t>
      </w:r>
    </w:p>
    <w:p w:rsidR="00C65033" w:rsidRDefault="00CC281E" w:rsidP="008F61B2">
      <w:pPr>
        <w:ind w:firstLine="720"/>
      </w:pPr>
      <w:r>
        <w:t>Also, liabilities influence the geographical location of the job as topographical areas tend typically to offer no negotiation for individuals with debts</w:t>
      </w:r>
      <w:r w:rsidR="00114BF1">
        <w:t xml:space="preserve"> as the person has to show their creditworthiness certification before securing the job. Thus restricting one’s choice of a location to a site with limited resources or a desirable place that comes to persons with </w:t>
      </w:r>
      <w:r w:rsidR="00D7393D">
        <w:t>debts. Liabilities</w:t>
      </w:r>
      <w:r w:rsidR="00114BF1">
        <w:t xml:space="preserve"> also bring </w:t>
      </w:r>
      <w:r w:rsidR="00D7393D">
        <w:t xml:space="preserve">troubles to the individuals paying the debts. Things concerns that are brought about by obligations also affects the salary and the determination of the amount to negotiate.  Since the liabilities interfere with a person's creditworthiness, </w:t>
      </w:r>
      <w:r w:rsidR="00AD5C5C">
        <w:t>it can also be the most significant barrier to the number of career development platforms of the person question.</w:t>
      </w:r>
    </w:p>
    <w:p w:rsidR="00C65033" w:rsidRDefault="00C65033">
      <w:r>
        <w:br w:type="page"/>
      </w:r>
    </w:p>
    <w:p w:rsidR="00C65033" w:rsidRPr="00C65033" w:rsidRDefault="00C65033" w:rsidP="00C65033">
      <w:pPr>
        <w:shd w:val="clear" w:color="auto" w:fill="FFFFFF"/>
        <w:spacing w:after="0" w:line="240" w:lineRule="auto"/>
        <w:jc w:val="center"/>
        <w:rPr>
          <w:rFonts w:eastAsia="Times New Roman" w:cs="Times New Roman"/>
          <w:b/>
          <w:color w:val="000000"/>
          <w:szCs w:val="24"/>
        </w:rPr>
      </w:pPr>
      <w:r w:rsidRPr="00C65033">
        <w:rPr>
          <w:rFonts w:eastAsia="Times New Roman" w:cs="Times New Roman"/>
          <w:b/>
          <w:color w:val="000000"/>
          <w:szCs w:val="24"/>
        </w:rPr>
        <w:lastRenderedPageBreak/>
        <w:t>References</w:t>
      </w:r>
    </w:p>
    <w:p w:rsidR="00C65033" w:rsidRPr="00C65033" w:rsidRDefault="00C65033" w:rsidP="00C65033">
      <w:pPr>
        <w:shd w:val="clear" w:color="auto" w:fill="FFFFFF"/>
        <w:spacing w:after="0" w:line="550" w:lineRule="atLeast"/>
        <w:ind w:left="720" w:right="75" w:hanging="720"/>
        <w:rPr>
          <w:rFonts w:eastAsia="Times New Roman" w:cs="Times New Roman"/>
          <w:color w:val="000000"/>
          <w:szCs w:val="24"/>
        </w:rPr>
      </w:pPr>
      <w:r w:rsidRPr="00C65033">
        <w:rPr>
          <w:rFonts w:eastAsia="Times New Roman" w:cs="Times New Roman"/>
          <w:color w:val="000000"/>
          <w:szCs w:val="24"/>
        </w:rPr>
        <w:t>Belfield, C. R. (2012). Student loans and repayment rates: The role of for-profit colleges. </w:t>
      </w:r>
      <w:r w:rsidRPr="00C65033">
        <w:rPr>
          <w:rFonts w:eastAsia="Times New Roman" w:cs="Times New Roman"/>
          <w:i/>
          <w:iCs/>
          <w:color w:val="000000"/>
          <w:szCs w:val="24"/>
        </w:rPr>
        <w:t>Research in Higher Education</w:t>
      </w:r>
      <w:r w:rsidRPr="00C65033">
        <w:rPr>
          <w:rFonts w:eastAsia="Times New Roman" w:cs="Times New Roman"/>
          <w:color w:val="000000"/>
          <w:szCs w:val="24"/>
        </w:rPr>
        <w:t>, </w:t>
      </w:r>
      <w:r w:rsidRPr="00C65033">
        <w:rPr>
          <w:rFonts w:eastAsia="Times New Roman" w:cs="Times New Roman"/>
          <w:i/>
          <w:iCs/>
          <w:color w:val="000000"/>
          <w:szCs w:val="24"/>
        </w:rPr>
        <w:t>54</w:t>
      </w:r>
      <w:r w:rsidRPr="00C65033">
        <w:rPr>
          <w:rFonts w:eastAsia="Times New Roman" w:cs="Times New Roman"/>
          <w:color w:val="000000"/>
          <w:szCs w:val="24"/>
        </w:rPr>
        <w:t>(1), 1-29. </w:t>
      </w:r>
      <w:hyperlink r:id="rId6" w:history="1">
        <w:r w:rsidRPr="00C65033">
          <w:rPr>
            <w:rFonts w:eastAsia="Times New Roman" w:cs="Times New Roman"/>
            <w:color w:val="000000"/>
            <w:szCs w:val="24"/>
          </w:rPr>
          <w:t>https://doi.org/10.1007/s11162-012-9268-1</w:t>
        </w:r>
      </w:hyperlink>
    </w:p>
    <w:p w:rsidR="00C65033" w:rsidRPr="00C65033" w:rsidRDefault="00C65033" w:rsidP="00C65033">
      <w:pPr>
        <w:shd w:val="clear" w:color="auto" w:fill="FFFFFF"/>
        <w:spacing w:after="0" w:line="550" w:lineRule="atLeast"/>
        <w:ind w:left="720" w:right="75" w:hanging="720"/>
        <w:rPr>
          <w:rFonts w:eastAsia="Times New Roman" w:cs="Times New Roman"/>
          <w:color w:val="000000"/>
          <w:szCs w:val="24"/>
        </w:rPr>
      </w:pPr>
      <w:r w:rsidRPr="00C65033">
        <w:rPr>
          <w:rFonts w:eastAsia="Times New Roman" w:cs="Times New Roman"/>
          <w:color w:val="000000"/>
          <w:szCs w:val="24"/>
        </w:rPr>
        <w:t>Hillman, N. W. (2014). College on credit: A multilevel analysis of student loan default. </w:t>
      </w:r>
      <w:r w:rsidRPr="00C65033">
        <w:rPr>
          <w:rFonts w:eastAsia="Times New Roman" w:cs="Times New Roman"/>
          <w:i/>
          <w:iCs/>
          <w:color w:val="000000"/>
          <w:szCs w:val="24"/>
        </w:rPr>
        <w:t>The Review of Higher Education</w:t>
      </w:r>
      <w:r w:rsidRPr="00C65033">
        <w:rPr>
          <w:rFonts w:eastAsia="Times New Roman" w:cs="Times New Roman"/>
          <w:color w:val="000000"/>
          <w:szCs w:val="24"/>
        </w:rPr>
        <w:t>, </w:t>
      </w:r>
      <w:r w:rsidRPr="00C65033">
        <w:rPr>
          <w:rFonts w:eastAsia="Times New Roman" w:cs="Times New Roman"/>
          <w:i/>
          <w:iCs/>
          <w:color w:val="000000"/>
          <w:szCs w:val="24"/>
        </w:rPr>
        <w:t>37</w:t>
      </w:r>
      <w:r w:rsidRPr="00C65033">
        <w:rPr>
          <w:rFonts w:eastAsia="Times New Roman" w:cs="Times New Roman"/>
          <w:color w:val="000000"/>
          <w:szCs w:val="24"/>
        </w:rPr>
        <w:t>(2), 169-195. </w:t>
      </w:r>
      <w:hyperlink r:id="rId7" w:history="1">
        <w:r w:rsidRPr="00C65033">
          <w:rPr>
            <w:rFonts w:eastAsia="Times New Roman" w:cs="Times New Roman"/>
            <w:color w:val="000000"/>
            <w:szCs w:val="24"/>
          </w:rPr>
          <w:t>https://doi.org/10.1353/rhe.2014.0011</w:t>
        </w:r>
      </w:hyperlink>
    </w:p>
    <w:p w:rsidR="00C65033" w:rsidRPr="00C65033" w:rsidRDefault="00C65033" w:rsidP="00C65033">
      <w:pPr>
        <w:shd w:val="clear" w:color="auto" w:fill="FFFFFF"/>
        <w:spacing w:after="0" w:line="550" w:lineRule="atLeast"/>
        <w:ind w:left="720" w:right="75" w:hanging="720"/>
        <w:rPr>
          <w:rFonts w:eastAsia="Times New Roman" w:cs="Times New Roman"/>
          <w:color w:val="000000"/>
          <w:szCs w:val="24"/>
        </w:rPr>
      </w:pPr>
      <w:r w:rsidRPr="00C65033">
        <w:rPr>
          <w:rFonts w:eastAsia="Times New Roman" w:cs="Times New Roman"/>
          <w:color w:val="000000"/>
          <w:szCs w:val="24"/>
        </w:rPr>
        <w:t>Hillman, N. W., Tandberg, D. A., &amp; Gross, J. P. (2014). Performance funding in higher education: Do financial incentives impact college completions? </w:t>
      </w:r>
      <w:r w:rsidRPr="00C65033">
        <w:rPr>
          <w:rFonts w:eastAsia="Times New Roman" w:cs="Times New Roman"/>
          <w:i/>
          <w:iCs/>
          <w:color w:val="000000"/>
          <w:szCs w:val="24"/>
        </w:rPr>
        <w:t>The Journal of Higher Education</w:t>
      </w:r>
      <w:r w:rsidRPr="00C65033">
        <w:rPr>
          <w:rFonts w:eastAsia="Times New Roman" w:cs="Times New Roman"/>
          <w:color w:val="000000"/>
          <w:szCs w:val="24"/>
        </w:rPr>
        <w:t>, </w:t>
      </w:r>
      <w:r w:rsidRPr="00C65033">
        <w:rPr>
          <w:rFonts w:eastAsia="Times New Roman" w:cs="Times New Roman"/>
          <w:i/>
          <w:iCs/>
          <w:color w:val="000000"/>
          <w:szCs w:val="24"/>
        </w:rPr>
        <w:t>85</w:t>
      </w:r>
      <w:r w:rsidRPr="00C65033">
        <w:rPr>
          <w:rFonts w:eastAsia="Times New Roman" w:cs="Times New Roman"/>
          <w:color w:val="000000"/>
          <w:szCs w:val="24"/>
        </w:rPr>
        <w:t>(6), 826-857. </w:t>
      </w:r>
      <w:hyperlink r:id="rId8" w:history="1">
        <w:r w:rsidRPr="00C65033">
          <w:rPr>
            <w:rFonts w:eastAsia="Times New Roman" w:cs="Times New Roman"/>
            <w:color w:val="000000"/>
            <w:szCs w:val="24"/>
          </w:rPr>
          <w:t>https://doi.org/10.1353/jhe.2014.0031</w:t>
        </w:r>
      </w:hyperlink>
    </w:p>
    <w:p w:rsidR="00C65033" w:rsidRPr="00C65033" w:rsidRDefault="00C65033" w:rsidP="00C65033">
      <w:pPr>
        <w:shd w:val="clear" w:color="auto" w:fill="FFFFFF"/>
        <w:spacing w:after="0" w:line="550" w:lineRule="atLeast"/>
        <w:ind w:left="720" w:right="75" w:hanging="720"/>
        <w:rPr>
          <w:rFonts w:eastAsia="Times New Roman" w:cs="Times New Roman"/>
          <w:color w:val="000000"/>
          <w:szCs w:val="24"/>
        </w:rPr>
      </w:pPr>
      <w:r w:rsidRPr="00C65033">
        <w:rPr>
          <w:rFonts w:eastAsia="Times New Roman" w:cs="Times New Roman"/>
          <w:color w:val="000000"/>
          <w:szCs w:val="24"/>
        </w:rPr>
        <w:t>Montalto, C. P., Phillips, E. L., McDaniel, A., &amp; Baker, A. R. (2018). College student financial wellness: Student loans and beyond. </w:t>
      </w:r>
      <w:r w:rsidRPr="00C65033">
        <w:rPr>
          <w:rFonts w:eastAsia="Times New Roman" w:cs="Times New Roman"/>
          <w:i/>
          <w:iCs/>
          <w:color w:val="000000"/>
          <w:szCs w:val="24"/>
        </w:rPr>
        <w:t>Journal of Family and Economic Issues</w:t>
      </w:r>
      <w:r w:rsidRPr="00C65033">
        <w:rPr>
          <w:rFonts w:eastAsia="Times New Roman" w:cs="Times New Roman"/>
          <w:color w:val="000000"/>
          <w:szCs w:val="24"/>
        </w:rPr>
        <w:t>, </w:t>
      </w:r>
      <w:r w:rsidRPr="00C65033">
        <w:rPr>
          <w:rFonts w:eastAsia="Times New Roman" w:cs="Times New Roman"/>
          <w:i/>
          <w:iCs/>
          <w:color w:val="000000"/>
          <w:szCs w:val="24"/>
        </w:rPr>
        <w:t>40</w:t>
      </w:r>
      <w:r w:rsidRPr="00C65033">
        <w:rPr>
          <w:rFonts w:eastAsia="Times New Roman" w:cs="Times New Roman"/>
          <w:color w:val="000000"/>
          <w:szCs w:val="24"/>
        </w:rPr>
        <w:t>(1), 3-21. </w:t>
      </w:r>
      <w:hyperlink r:id="rId9" w:history="1">
        <w:r w:rsidRPr="00C65033">
          <w:rPr>
            <w:rFonts w:eastAsia="Times New Roman" w:cs="Times New Roman"/>
            <w:color w:val="000000"/>
            <w:szCs w:val="24"/>
          </w:rPr>
          <w:t>https://doi.org/10.1007/s10834-018-9593-4</w:t>
        </w:r>
      </w:hyperlink>
    </w:p>
    <w:p w:rsidR="009072EE" w:rsidRDefault="009072EE" w:rsidP="008F61B2">
      <w:pPr>
        <w:ind w:firstLine="720"/>
      </w:pPr>
    </w:p>
    <w:p w:rsidR="00D039D7" w:rsidRPr="00991E42" w:rsidRDefault="00CC281E" w:rsidP="00991E42">
      <w:r>
        <w:tab/>
      </w:r>
    </w:p>
    <w:p w:rsidR="00991E42" w:rsidRDefault="00991E42" w:rsidP="00991E42">
      <w:pPr>
        <w:jc w:val="center"/>
        <w:rPr>
          <w:b/>
        </w:rPr>
      </w:pPr>
    </w:p>
    <w:p w:rsidR="00991E42" w:rsidRPr="00991E42" w:rsidRDefault="00991E42" w:rsidP="00991E42">
      <w:pPr>
        <w:jc w:val="center"/>
        <w:rPr>
          <w:b/>
        </w:rPr>
      </w:pPr>
    </w:p>
    <w:sectPr w:rsidR="00991E42" w:rsidRPr="00991E42">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B87467" w:rsidRDefault="00B87467">
      <w:pPr>
        <w:spacing w:after="0" w:line="240" w:lineRule="auto"/>
      </w:pPr>
      <w:r>
        <w:separator/>
      </w:r>
    </w:p>
  </w:endnote>
  <w:endnote w:type="continuationSeparator" w:id="0">
    <w:p w:rsidR="00B87467" w:rsidRDefault="00B874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B87467" w:rsidRDefault="00B87467">
      <w:pPr>
        <w:spacing w:after="0" w:line="240" w:lineRule="auto"/>
      </w:pPr>
      <w:r>
        <w:separator/>
      </w:r>
    </w:p>
  </w:footnote>
  <w:footnote w:type="continuationSeparator" w:id="0">
    <w:p w:rsidR="00B87467" w:rsidRDefault="00B874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07789565"/>
      <w:docPartObj>
        <w:docPartGallery w:val="Page Numbers (Top of Page)"/>
        <w:docPartUnique/>
      </w:docPartObj>
    </w:sdtPr>
    <w:sdtEndPr>
      <w:rPr>
        <w:noProof/>
      </w:rPr>
    </w:sdtEndPr>
    <w:sdtContent>
      <w:p w:rsidR="00F85550" w:rsidRDefault="00CC281E">
        <w:pPr>
          <w:pStyle w:val="Header"/>
          <w:jc w:val="right"/>
        </w:pPr>
        <w:r>
          <w:fldChar w:fldCharType="begin"/>
        </w:r>
        <w:r>
          <w:instrText xml:space="preserve"> PAGE   \* MERGEFORMAT </w:instrText>
        </w:r>
        <w:r>
          <w:fldChar w:fldCharType="separate"/>
        </w:r>
        <w:r w:rsidR="00C65033">
          <w:rPr>
            <w:noProof/>
          </w:rPr>
          <w:t>5</w:t>
        </w:r>
        <w:r>
          <w:rPr>
            <w:noProof/>
          </w:rPr>
          <w:fldChar w:fldCharType="end"/>
        </w:r>
      </w:p>
    </w:sdtContent>
  </w:sdt>
  <w:p w:rsidR="00F85550" w:rsidRDefault="00F855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5550"/>
    <w:rsid w:val="000D0709"/>
    <w:rsid w:val="000D5794"/>
    <w:rsid w:val="00114BF1"/>
    <w:rsid w:val="001B4087"/>
    <w:rsid w:val="001F0C81"/>
    <w:rsid w:val="002033FA"/>
    <w:rsid w:val="0030638D"/>
    <w:rsid w:val="00446687"/>
    <w:rsid w:val="00680C38"/>
    <w:rsid w:val="00750751"/>
    <w:rsid w:val="007D57C6"/>
    <w:rsid w:val="008063CE"/>
    <w:rsid w:val="00854871"/>
    <w:rsid w:val="008906D0"/>
    <w:rsid w:val="008A78CB"/>
    <w:rsid w:val="008D5904"/>
    <w:rsid w:val="008D7983"/>
    <w:rsid w:val="008F61B2"/>
    <w:rsid w:val="00901A4A"/>
    <w:rsid w:val="00903B5C"/>
    <w:rsid w:val="009072EE"/>
    <w:rsid w:val="009230D7"/>
    <w:rsid w:val="00991E42"/>
    <w:rsid w:val="00A75B0A"/>
    <w:rsid w:val="00AA3F73"/>
    <w:rsid w:val="00AD5C5C"/>
    <w:rsid w:val="00AD7547"/>
    <w:rsid w:val="00B87467"/>
    <w:rsid w:val="00BE1B23"/>
    <w:rsid w:val="00C15B53"/>
    <w:rsid w:val="00C65033"/>
    <w:rsid w:val="00C7143D"/>
    <w:rsid w:val="00C918D7"/>
    <w:rsid w:val="00CB7B18"/>
    <w:rsid w:val="00CC281E"/>
    <w:rsid w:val="00D039D7"/>
    <w:rsid w:val="00D7393D"/>
    <w:rsid w:val="00D9168D"/>
    <w:rsid w:val="00DD3ACB"/>
    <w:rsid w:val="00E878FF"/>
    <w:rsid w:val="00F85550"/>
    <w:rsid w:val="00FA76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B155A9-03AF-4A7C-9721-2A99AA623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55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5550"/>
  </w:style>
  <w:style w:type="paragraph" w:styleId="Footer">
    <w:name w:val="footer"/>
    <w:basedOn w:val="Normal"/>
    <w:link w:val="FooterChar"/>
    <w:uiPriority w:val="99"/>
    <w:unhideWhenUsed/>
    <w:rsid w:val="00F855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5550"/>
  </w:style>
  <w:style w:type="character" w:customStyle="1" w:styleId="gray">
    <w:name w:val="gray"/>
    <w:basedOn w:val="DefaultParagraphFont"/>
    <w:rsid w:val="00BE1B23"/>
  </w:style>
  <w:style w:type="paragraph" w:styleId="NormalWeb">
    <w:name w:val="Normal (Web)"/>
    <w:basedOn w:val="Normal"/>
    <w:uiPriority w:val="99"/>
    <w:semiHidden/>
    <w:unhideWhenUsed/>
    <w:rsid w:val="00C65033"/>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C65033"/>
    <w:rPr>
      <w:i/>
      <w:iCs/>
    </w:rPr>
  </w:style>
  <w:style w:type="character" w:styleId="Hyperlink">
    <w:name w:val="Hyperlink"/>
    <w:basedOn w:val="DefaultParagraphFont"/>
    <w:uiPriority w:val="99"/>
    <w:semiHidden/>
    <w:unhideWhenUsed/>
    <w:rsid w:val="00C6503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62521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353/jhe.2014.0031" TargetMode="External" /><Relationship Id="rId3" Type="http://schemas.openxmlformats.org/officeDocument/2006/relationships/webSettings" Target="webSettings.xml" /><Relationship Id="rId7" Type="http://schemas.openxmlformats.org/officeDocument/2006/relationships/hyperlink" Target="https://doi.org/10.1353/rhe.2014.0011" TargetMode="External" /><Relationship Id="rId12"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oi.org/10.1007/s11162-012-9268-1" TargetMode="External" /><Relationship Id="rId11" Type="http://schemas.openxmlformats.org/officeDocument/2006/relationships/fontTable" Target="fontTable.xml" /><Relationship Id="rId5" Type="http://schemas.openxmlformats.org/officeDocument/2006/relationships/endnotes" Target="endnotes.xml" /><Relationship Id="rId10" Type="http://schemas.openxmlformats.org/officeDocument/2006/relationships/header" Target="header1.xml" /><Relationship Id="rId4" Type="http://schemas.openxmlformats.org/officeDocument/2006/relationships/footnotes" Target="footnotes.xml" /><Relationship Id="rId9" Type="http://schemas.openxmlformats.org/officeDocument/2006/relationships/hyperlink" Target="https://doi.org/10.1007/s10834-018-9593-4"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 /></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9517F58-A714-416B-85A3-7E32F18D0194}">
  <we:reference id="wa104099688" version="1.3.0.0"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0</TotalTime>
  <Pages>5</Pages>
  <Words>930</Words>
  <Characters>5301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254716226303</cp:lastModifiedBy>
  <cp:revision>2</cp:revision>
  <dcterms:created xsi:type="dcterms:W3CDTF">2020-08-18T15:12:00Z</dcterms:created>
  <dcterms:modified xsi:type="dcterms:W3CDTF">2020-08-18T15:12:00Z</dcterms:modified>
</cp:coreProperties>
</file>